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168" w:lineRule="auto"/>
        <w:jc w:val="center"/>
        <w:rPr>
          <w:rFonts w:ascii="EB Garamond ExtraBold" w:cs="EB Garamond ExtraBold" w:eastAsia="EB Garamond ExtraBold" w:hAnsi="EB Garamond ExtraBold"/>
          <w:color w:val="351c75"/>
          <w:sz w:val="70"/>
          <w:szCs w:val="70"/>
        </w:rPr>
      </w:pPr>
      <w:bookmarkStart w:colFirst="0" w:colLast="0" w:name="_heading=h.aj765gy3vkio" w:id="0"/>
      <w:bookmarkEnd w:id="0"/>
      <w:r w:rsidDel="00000000" w:rsidR="00000000" w:rsidRPr="00000000">
        <w:rPr>
          <w:rFonts w:ascii="EB Garamond ExtraBold" w:cs="EB Garamond ExtraBold" w:eastAsia="EB Garamond ExtraBold" w:hAnsi="EB Garamond ExtraBold"/>
          <w:color w:val="351c75"/>
          <w:sz w:val="70"/>
          <w:szCs w:val="70"/>
          <w:rtl w:val="0"/>
        </w:rPr>
        <w:t xml:space="preserve">Srikrishna College</w:t>
      </w:r>
    </w:p>
    <w:p w:rsidR="00000000" w:rsidDel="00000000" w:rsidP="00000000" w:rsidRDefault="00000000" w:rsidRPr="00000000" w14:paraId="00000002">
      <w:pPr>
        <w:spacing w:after="60" w:line="168" w:lineRule="auto"/>
        <w:jc w:val="center"/>
        <w:rPr>
          <w:rFonts w:ascii="Spectral Medium" w:cs="Spectral Medium" w:eastAsia="Spectral Medium" w:hAnsi="Spectral Medium"/>
          <w:color w:val="1155cc"/>
          <w:sz w:val="28"/>
          <w:szCs w:val="28"/>
        </w:rPr>
      </w:pPr>
      <w:r w:rsidDel="00000000" w:rsidR="00000000" w:rsidRPr="00000000">
        <w:rPr>
          <w:rFonts w:ascii="Spectral Medium" w:cs="Spectral Medium" w:eastAsia="Spectral Medium" w:hAnsi="Spectral Medium"/>
          <w:color w:val="1155cc"/>
          <w:sz w:val="28"/>
          <w:szCs w:val="28"/>
          <w:rtl w:val="0"/>
        </w:rPr>
        <w:t xml:space="preserve">(Affiliated to University of Kalyani)</w:t>
      </w:r>
    </w:p>
    <w:p w:rsidR="00000000" w:rsidDel="00000000" w:rsidP="00000000" w:rsidRDefault="00000000" w:rsidRPr="00000000" w14:paraId="00000003">
      <w:pPr>
        <w:spacing w:line="240" w:lineRule="auto"/>
        <w:jc w:val="center"/>
        <w:rPr>
          <w:rFonts w:ascii="Spectral" w:cs="Spectral" w:eastAsia="Spectral" w:hAnsi="Spectral"/>
          <w:b w:val="1"/>
          <w:bCs w:val="1"/>
          <w:color w:val="660000"/>
          <w:sz w:val="28"/>
          <w:szCs w:val="28"/>
        </w:rPr>
      </w:pPr>
      <w:r w:rsidDel="00000000" w:rsidR="00000000" w:rsidRPr="00000000">
        <w:rPr>
          <w:rFonts w:ascii="Spectral" w:cs="Spectral" w:eastAsia="Spectral" w:hAnsi="Spectral"/>
          <w:b w:val="1"/>
          <w:bCs w:val="1"/>
          <w:color w:val="660000"/>
          <w:sz w:val="28"/>
          <w:szCs w:val="28"/>
          <w:rtl w:val="0"/>
        </w:rPr>
        <w:t xml:space="preserve">Accredited by NAAC: Grade B+ (3rd cycle)</w:t>
      </w:r>
    </w:p>
    <w:p w:rsidR="00000000" w:rsidDel="00000000" w:rsidP="00000000" w:rsidRDefault="00000000" w:rsidRPr="00000000" w14:paraId="00000004">
      <w:pPr>
        <w:spacing w:line="240" w:lineRule="auto"/>
        <w:jc w:val="center"/>
        <w:rPr>
          <w:color w:val="38761d"/>
        </w:rPr>
      </w:pPr>
      <w:r w:rsidDel="00000000" w:rsidR="00000000" w:rsidRPr="00000000">
        <w:rPr>
          <w:rFonts w:ascii="Spectral SemiBold" w:cs="Spectral SemiBold" w:eastAsia="Spectral SemiBold" w:hAnsi="Spectral SemiBold"/>
          <w:sz w:val="38"/>
          <w:szCs w:val="38"/>
          <w:rtl w:val="0"/>
        </w:rPr>
        <w:t xml:space="preserve"> </w:t>
      </w:r>
      <w:r w:rsidDel="00000000" w:rsidR="00000000" w:rsidRPr="00000000">
        <w:rPr>
          <w:rFonts w:ascii="Spectral SemiBold" w:cs="Spectral SemiBold" w:eastAsia="Spectral SemiBold" w:hAnsi="Spectral SemiBold"/>
          <w:color w:val="38761d"/>
          <w:sz w:val="38"/>
          <w:szCs w:val="38"/>
          <w:rtl w:val="0"/>
        </w:rPr>
        <w:t xml:space="preserve">Bagula, Nadia, West Bengal , Pin-741502 </w:t>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bCs w:val="1"/>
          <w:sz w:val="34"/>
          <w:szCs w:val="34"/>
          <w:u w:val="single"/>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34"/>
          <w:szCs w:val="34"/>
          <w:u w:val="single"/>
          <w:rtl w:val="0"/>
        </w:rPr>
        <w:t xml:space="preserve">Library facilities for teaching-learning</w:t>
      </w: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College ensures that the teaching–learning process is maintained at an optimal level by providing adequate infrastructural arrangements for Central Library also. This College library have  total of 24676 books available at the current academic year 2023-24 The college library provides online public access catalogue service (OPAC), internet browsing facilities, newspaper service, career and cultural magazine service, Economic and Political weekly (EPW) archive service and few related  journals service creating the research and innovation environment of  the students.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tbl>
      <w:tblPr>
        <w:tblStyle w:val="Table1"/>
        <w:tblW w:w="92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2130"/>
        <w:gridCol w:w="5970"/>
        <w:tblGridChange w:id="0">
          <w:tblGrid>
            <w:gridCol w:w="1125"/>
            <w:gridCol w:w="2130"/>
            <w:gridCol w:w="59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Sr. No</w:t>
            </w:r>
          </w:p>
        </w:tc>
        <w:tc>
          <w:tcPr>
            <w:shd w:fill="auto" w:val="clear"/>
            <w:tcMar>
              <w:top w:w="100.0" w:type="dxa"/>
              <w:left w:w="100.0" w:type="dxa"/>
              <w:bottom w:w="100.0" w:type="dxa"/>
              <w:right w:w="100.0" w:type="dxa"/>
            </w:tcMa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Facilities</w:t>
            </w:r>
          </w:p>
        </w:tc>
        <w:tc>
          <w:tcPr>
            <w:shd w:fill="auto" w:val="clear"/>
            <w:tcMar>
              <w:top w:w="100.0" w:type="dxa"/>
              <w:left w:w="100.0" w:type="dxa"/>
              <w:bottom w:w="100.0" w:type="dxa"/>
              <w:right w:w="100.0" w:type="dxa"/>
            </w:tcMa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Google taged Images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Entrance</w:t>
            </w:r>
          </w:p>
        </w:tc>
        <w:tc>
          <w:tcPr>
            <w:shd w:fill="auto" w:val="clear"/>
            <w:tcMar>
              <w:top w:w="100.0" w:type="dxa"/>
              <w:left w:w="100.0" w:type="dxa"/>
              <w:bottom w:w="100.0" w:type="dxa"/>
              <w:right w:w="100.0" w:type="dxa"/>
            </w:tcMa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0" distT="0" distL="114300" distR="114300">
                  <wp:extent cx="3626090" cy="1672366"/>
                  <wp:effectExtent b="0" l="0" r="0" t="0"/>
                  <wp:docPr id="1040"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626090" cy="167236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Stack Room</w:t>
            </w:r>
          </w:p>
        </w:tc>
        <w:tc>
          <w:tcPr>
            <w:shd w:fill="auto" w:val="clear"/>
            <w:tcMar>
              <w:top w:w="100.0" w:type="dxa"/>
              <w:left w:w="100.0" w:type="dxa"/>
              <w:bottom w:w="100.0" w:type="dxa"/>
              <w:right w:w="100.0" w:type="dxa"/>
            </w:tcMa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0" distT="0" distL="114300" distR="114300">
                  <wp:extent cx="3597330" cy="1672366"/>
                  <wp:effectExtent b="0" l="0" r="0" t="0"/>
                  <wp:docPr id="104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597330" cy="167236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Reading Place</w:t>
            </w:r>
          </w:p>
        </w:tc>
        <w:tc>
          <w:tcPr>
            <w:shd w:fill="auto" w:val="clear"/>
            <w:tcMar>
              <w:top w:w="100.0" w:type="dxa"/>
              <w:left w:w="100.0" w:type="dxa"/>
              <w:bottom w:w="100.0" w:type="dxa"/>
              <w:right w:w="100.0" w:type="dxa"/>
            </w:tcMa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0" distT="0" distL="114300" distR="114300">
                  <wp:extent cx="3575760" cy="1672366"/>
                  <wp:effectExtent b="0" l="0" r="0" t="0"/>
                  <wp:docPr id="104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575760" cy="1672366"/>
                          </a:xfrm>
                          <a:prstGeom prst="rect"/>
                          <a:ln/>
                        </pic:spPr>
                      </pic:pic>
                    </a:graphicData>
                  </a:graphic>
                </wp:inline>
              </w:drawing>
            </w: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Separate corner for Teachers Research and reading</w:t>
            </w:r>
          </w:p>
        </w:tc>
        <w:tc>
          <w:tcPr>
            <w:shd w:fill="auto" w:val="clear"/>
            <w:tcMar>
              <w:top w:w="100.0" w:type="dxa"/>
              <w:left w:w="100.0" w:type="dxa"/>
              <w:bottom w:w="100.0" w:type="dxa"/>
              <w:right w:w="100.0" w:type="dxa"/>
            </w:tcMa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0" distT="0" distL="114300" distR="114300">
                  <wp:extent cx="3611710" cy="1672366"/>
                  <wp:effectExtent b="0" l="0" r="0" t="0"/>
                  <wp:docPr id="104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611710" cy="1672366"/>
                          </a:xfrm>
                          <a:prstGeom prst="rect"/>
                          <a:ln/>
                        </pic:spPr>
                      </pic:pic>
                    </a:graphicData>
                  </a:graphic>
                </wp:inline>
              </w:drawing>
            </w: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Computer Facility for Students</w:t>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pPr>
            <w:r w:rsidDel="00000000" w:rsidR="00000000" w:rsidRPr="00000000">
              <w:rPr/>
              <w:drawing>
                <wp:inline distB="0" distT="0" distL="114300" distR="114300">
                  <wp:extent cx="3575760" cy="1672366"/>
                  <wp:effectExtent b="0" l="0" r="0" t="0"/>
                  <wp:docPr id="104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575760" cy="1672366"/>
                          </a:xfrm>
                          <a:prstGeom prst="rect"/>
                          <a:ln/>
                        </pic:spPr>
                      </pic:pic>
                    </a:graphicData>
                  </a:graphic>
                </wp:inline>
              </w:drawing>
            </w:r>
            <w:r w:rsidDel="00000000" w:rsidR="00000000" w:rsidRPr="00000000">
              <w:rPr>
                <w:rtl w:val="0"/>
              </w:rPr>
            </w:r>
          </w:p>
        </w:tc>
      </w:tr>
      <w:tr>
        <w:trPr>
          <w:cantSplit w:val="0"/>
          <w:trHeight w:val="4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Carrier Guidance stack for students </w:t>
            </w:r>
          </w:p>
        </w:tc>
        <w:tc>
          <w:tcPr>
            <w:shd w:fill="auto" w:val="clear"/>
            <w:tcMar>
              <w:top w:w="100.0" w:type="dxa"/>
              <w:left w:w="100.0" w:type="dxa"/>
              <w:bottom w:w="100.0" w:type="dxa"/>
              <w:right w:w="100.0" w:type="dxa"/>
            </w:tcMa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0" distT="0" distL="114300" distR="114300">
                  <wp:extent cx="3629686" cy="1672365"/>
                  <wp:effectExtent b="0" l="0" r="0" t="0"/>
                  <wp:docPr id="1039"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629686" cy="16723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EB Garamond ExtraBold">
    <w:embedBold w:fontKey="{00000000-0000-0000-0000-000000000000}" r:id="rId1" w:subsetted="0"/>
    <w:embedBoldItalic w:fontKey="{00000000-0000-0000-0000-000000000000}" r:id="rId2" w:subsetted="0"/>
  </w:font>
  <w:font w:name="Spectral">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pectral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pectral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1"/>
        <w:szCs w:val="21"/>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bCs w:val="0"/>
      <w:i w:val="0"/>
      <w:iCs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bCs w:val="0"/>
      <w:i w:val="0"/>
      <w:iCs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bCs w:val="0"/>
      <w:i w:val="0"/>
      <w:iCs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bCs w:val="0"/>
      <w:i w:val="0"/>
      <w:iCs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bCs w:val="0"/>
      <w:i w:val="0"/>
      <w:iCs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bCs w:val="0"/>
      <w:i w:val="1"/>
      <w:iCs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bCs w:val="0"/>
      <w:i w:val="0"/>
      <w:iCs w:val="0"/>
      <w:smallCaps w:val="0"/>
      <w:strike w:val="0"/>
      <w:color w:val="000000"/>
      <w:sz w:val="52"/>
      <w:szCs w:val="52"/>
      <w:u w:val="none"/>
      <w:shd w:fill="auto" w:val="clear"/>
      <w:vertAlign w:val="baseline"/>
    </w:rPr>
  </w:style>
  <w:style w:type="table" w:styleId="style4097" w:customStyle="1">
    <w:name w:val="TableNormal"/>
    <w:next w:val="style4097"/>
    <w:pPr/>
    <w:rPr/>
    <w:tblPr>
      <w:tblCellMar>
        <w:top w:w="100.0" w:type="dxa"/>
        <w:left w:w="100.0" w:type="dxa"/>
        <w:bottom w:w="100.0" w:type="dxa"/>
        <w:right w:w="100.0" w:type="dxa"/>
      </w:tblCellMar>
    </w:tblPr>
    <w:tcPr>
      <w:tcBorders/>
    </w:tcPr>
  </w:style>
  <w:style w:type="paragraph" w:styleId="style4098" w:customStyle="1">
    <w:name w:val="normal"/>
    <w:next w:val="style4098"/>
    <w:pPr/>
  </w:style>
  <w:style w:type="table" w:styleId="style4099" w:customStyle="1">
    <w:basedOn w:val="style4097"/>
    <w:next w:val="style4099"/>
    <w:pPr/>
    <w:rPr/>
    <w:tblPr>
      <w:tblStyleRowBandSize w:val="1"/>
      <w:tblStyleColBandSize w:val="1"/>
    </w:tblPr>
    <w:tcPr>
      <w:tcBorders/>
    </w:tc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bCs w:val="0"/>
      <w:i w:val="0"/>
      <w:iCs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1" Type="http://schemas.openxmlformats.org/officeDocument/2006/relationships/font" Target="fonts/SpectralMedium-regular.ttf"/><Relationship Id="rId10" Type="http://schemas.openxmlformats.org/officeDocument/2006/relationships/font" Target="fonts/SpectralSemiBold-boldItalic.ttf"/><Relationship Id="rId13" Type="http://schemas.openxmlformats.org/officeDocument/2006/relationships/font" Target="fonts/SpectralMedium-italic.ttf"/><Relationship Id="rId12" Type="http://schemas.openxmlformats.org/officeDocument/2006/relationships/font" Target="fonts/SpectralMedium-bold.ttf"/><Relationship Id="rId1" Type="http://schemas.openxmlformats.org/officeDocument/2006/relationships/font" Target="fonts/EBGaramondExtraBold-bold.ttf"/><Relationship Id="rId2" Type="http://schemas.openxmlformats.org/officeDocument/2006/relationships/font" Target="fonts/EBGaramondExtraBold-boldItalic.ttf"/><Relationship Id="rId3" Type="http://schemas.openxmlformats.org/officeDocument/2006/relationships/font" Target="fonts/Spectral-regular.ttf"/><Relationship Id="rId4" Type="http://schemas.openxmlformats.org/officeDocument/2006/relationships/font" Target="fonts/Spectral-bold.ttf"/><Relationship Id="rId9" Type="http://schemas.openxmlformats.org/officeDocument/2006/relationships/font" Target="fonts/SpectralSemiBold-italic.ttf"/><Relationship Id="rId14" Type="http://schemas.openxmlformats.org/officeDocument/2006/relationships/font" Target="fonts/SpectralMedium-boldItalic.ttf"/><Relationship Id="rId5" Type="http://schemas.openxmlformats.org/officeDocument/2006/relationships/font" Target="fonts/Spectral-italic.ttf"/><Relationship Id="rId6" Type="http://schemas.openxmlformats.org/officeDocument/2006/relationships/font" Target="fonts/Spectral-boldItalic.ttf"/><Relationship Id="rId7" Type="http://schemas.openxmlformats.org/officeDocument/2006/relationships/font" Target="fonts/SpectralSemiBold-regular.ttf"/><Relationship Id="rId8" Type="http://schemas.openxmlformats.org/officeDocument/2006/relationships/font" Target="fonts/Spectral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q5LAcf/qw6eN1o5id1XYv82t2w==">CgMxLjAyDmguYWo3NjVneTN2a2lvOAByITFMSmloa2pTa2FCTFBlSEdUbnJCQXNIeXB1ZFhJMlU1Zw==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2025-12-20T07:04:00Z</dcterms:created>
  <dc:creator>WPS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eab3111c4d8541a0ae3bb896bb07724b</vt:lpwstr>
  </property>
</Properties>
</file>